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5D9F" w14:textId="77777777" w:rsidR="00D90ABC" w:rsidRDefault="00D90AB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8931"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586"/>
        <w:gridCol w:w="6345"/>
      </w:tblGrid>
      <w:tr w:rsidR="00D90ABC" w14:paraId="23ED5386" w14:textId="77777777">
        <w:trPr>
          <w:trHeight w:val="2117"/>
        </w:trPr>
        <w:tc>
          <w:tcPr>
            <w:tcW w:w="2586" w:type="dxa"/>
          </w:tcPr>
          <w:p w14:paraId="478C648B" w14:textId="1562D98C" w:rsidR="00D90ABC" w:rsidRDefault="005B5618">
            <w:pPr>
              <w:tabs>
                <w:tab w:val="center" w:pos="1010"/>
              </w:tabs>
              <w:spacing w:after="0" w:line="240" w:lineRule="auto"/>
              <w:jc w:val="both"/>
              <w:rPr>
                <w:rFonts w:ascii="Times New Roman" w:eastAsia="Times New Roman" w:hAnsi="Times New Roman" w:cs="Times New Roman"/>
                <w:sz w:val="24"/>
                <w:szCs w:val="24"/>
              </w:rPr>
            </w:pPr>
            <w:r w:rsidRPr="00893FB7">
              <w:rPr>
                <w:rFonts w:cs="Cordia New"/>
                <w:noProof/>
                <w:lang w:val="id-ID" w:eastAsia="id-ID"/>
              </w:rPr>
              <mc:AlternateContent>
                <mc:Choice Requires="wps">
                  <w:drawing>
                    <wp:anchor distT="0" distB="0" distL="114300" distR="114300" simplePos="0" relativeHeight="251661312" behindDoc="0" locked="0" layoutInCell="1" allowOverlap="1" wp14:anchorId="0C407FAB" wp14:editId="23F9A209">
                      <wp:simplePos x="0" y="0"/>
                      <wp:positionH relativeFrom="column">
                        <wp:posOffset>1905</wp:posOffset>
                      </wp:positionH>
                      <wp:positionV relativeFrom="page">
                        <wp:posOffset>1130935</wp:posOffset>
                      </wp:positionV>
                      <wp:extent cx="568769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76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9EF753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89.05pt" to="448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" strokecolor="windowText" strokeweight="1pt">
                      <v:stroke joinstyle="miter"/>
                      <w10:wrap anchory="page"/>
                    </v:line>
                  </w:pict>
                </mc:Fallback>
              </mc:AlternateContent>
            </w:r>
            <w:r w:rsidR="00797325">
              <w:rPr>
                <w:noProof/>
              </w:rPr>
              <w:drawing>
                <wp:anchor distT="0" distB="0" distL="114300" distR="114300" simplePos="0" relativeHeight="251658240" behindDoc="0" locked="0" layoutInCell="1" hidden="0" allowOverlap="1" wp14:anchorId="11A932BC" wp14:editId="08F6297D">
                  <wp:simplePos x="0" y="0"/>
                  <wp:positionH relativeFrom="column">
                    <wp:posOffset>-14603</wp:posOffset>
                  </wp:positionH>
                  <wp:positionV relativeFrom="paragraph">
                    <wp:posOffset>0</wp:posOffset>
                  </wp:positionV>
                  <wp:extent cx="1502410" cy="97599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02410" cy="975995"/>
                          </a:xfrm>
                          <a:prstGeom prst="rect">
                            <a:avLst/>
                          </a:prstGeom>
                          <a:ln/>
                        </pic:spPr>
                      </pic:pic>
                    </a:graphicData>
                  </a:graphic>
                </wp:anchor>
              </w:drawing>
            </w:r>
            <w:r w:rsidR="00797325">
              <w:rPr>
                <w:noProof/>
              </w:rPr>
              <mc:AlternateContent>
                <mc:Choice Requires="wps">
                  <w:drawing>
                    <wp:anchor distT="0" distB="0" distL="114300" distR="114300" simplePos="0" relativeHeight="251659264" behindDoc="0" locked="0" layoutInCell="1" hidden="0" allowOverlap="1" wp14:anchorId="2263A5A2" wp14:editId="63D60ED7">
                      <wp:simplePos x="0" y="0"/>
                      <wp:positionH relativeFrom="column">
                        <wp:posOffset>-63499</wp:posOffset>
                      </wp:positionH>
                      <wp:positionV relativeFrom="paragraph">
                        <wp:posOffset>431800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502153" y="3780000"/>
                                <a:ext cx="5687695"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431800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345" w:type="dxa"/>
          </w:tcPr>
          <w:p w14:paraId="6FFA02C8" w14:textId="77777777" w:rsidR="00D90ABC" w:rsidRDefault="007973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43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GENERAL ASSEMBLY</w:t>
            </w:r>
          </w:p>
          <w:p w14:paraId="6549AE23" w14:textId="77777777" w:rsidR="00D90ABC" w:rsidRDefault="00797325">
            <w:pPr>
              <w:spacing w:after="0" w:line="240" w:lineRule="auto"/>
              <w:ind w:left="-59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OFASEAN INTER-PARLIAMENTARY ASSEMBLY</w:t>
            </w:r>
          </w:p>
          <w:p w14:paraId="56AA5BBD" w14:textId="77777777" w:rsidR="00D90ABC" w:rsidRDefault="007973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NOVEMBER 2022</w:t>
            </w:r>
          </w:p>
          <w:p w14:paraId="608E587F" w14:textId="77777777" w:rsidR="00D90ABC" w:rsidRDefault="007973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Phnom Penh, Cambodia</w:t>
            </w:r>
          </w:p>
          <w:p w14:paraId="4FE5DD1F" w14:textId="77777777" w:rsidR="00D90ABC" w:rsidRDefault="00797325">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Advancing Together for Sustainable, Inclusive, and Resilient ASEAN</w:t>
            </w:r>
          </w:p>
          <w:p w14:paraId="4060D810" w14:textId="77777777" w:rsidR="00D90ABC" w:rsidRDefault="00D90ABC">
            <w:pPr>
              <w:spacing w:after="0" w:line="240" w:lineRule="auto"/>
              <w:jc w:val="right"/>
              <w:rPr>
                <w:rFonts w:ascii="Times New Roman" w:eastAsia="Times New Roman" w:hAnsi="Times New Roman" w:cs="Times New Roman"/>
                <w:i/>
                <w:sz w:val="24"/>
                <w:szCs w:val="24"/>
              </w:rPr>
            </w:pPr>
          </w:p>
          <w:p w14:paraId="5E4DA392" w14:textId="77777777" w:rsidR="00D90ABC" w:rsidRDefault="00D90ABC">
            <w:pPr>
              <w:spacing w:after="0" w:line="240" w:lineRule="auto"/>
              <w:jc w:val="right"/>
              <w:rPr>
                <w:rFonts w:ascii="Times New Roman" w:eastAsia="Times New Roman" w:hAnsi="Times New Roman" w:cs="Times New Roman"/>
                <w:i/>
                <w:sz w:val="24"/>
                <w:szCs w:val="24"/>
              </w:rPr>
            </w:pPr>
          </w:p>
          <w:p w14:paraId="6388F5FF" w14:textId="67A04039" w:rsidR="00D90ABC" w:rsidRDefault="0079732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t>(Res 43GA/2022/Eco/</w:t>
            </w:r>
            <w:r w:rsidR="003A2A0C">
              <w:rPr>
                <w:rFonts w:ascii="Times New Roman" w:eastAsia="Times New Roman" w:hAnsi="Times New Roman" w:cs="Times New Roman"/>
                <w:i/>
                <w:sz w:val="24"/>
                <w:szCs w:val="24"/>
              </w:rPr>
              <w:t>01</w:t>
            </w:r>
            <w:r>
              <w:rPr>
                <w:rFonts w:ascii="Times New Roman" w:eastAsia="Times New Roman" w:hAnsi="Times New Roman" w:cs="Times New Roman"/>
                <w:i/>
                <w:sz w:val="24"/>
                <w:szCs w:val="24"/>
              </w:rPr>
              <w:t>)</w:t>
            </w:r>
          </w:p>
          <w:p w14:paraId="18522F4D" w14:textId="77777777" w:rsidR="00D90ABC" w:rsidRDefault="00797325">
            <w:pPr>
              <w:tabs>
                <w:tab w:val="right" w:pos="7408"/>
              </w:tabs>
              <w:spacing w:after="0" w:line="240" w:lineRule="auto"/>
              <w:ind w:left="-194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w:t>
            </w:r>
          </w:p>
        </w:tc>
      </w:tr>
    </w:tbl>
    <w:p w14:paraId="10E2940E" w14:textId="77777777" w:rsidR="00B2619E" w:rsidRDefault="00B2619E">
      <w:pPr>
        <w:pBdr>
          <w:top w:val="nil"/>
          <w:left w:val="nil"/>
          <w:bottom w:val="nil"/>
          <w:right w:val="nil"/>
          <w:between w:val="nil"/>
        </w:pBdr>
        <w:spacing w:after="0" w:line="240" w:lineRule="auto"/>
        <w:rPr>
          <w:rFonts w:ascii="Gotham Book" w:eastAsia="Gotham Book" w:hAnsi="Gotham Book" w:cs="Gotham Book"/>
          <w:color w:val="000000"/>
          <w:sz w:val="24"/>
          <w:szCs w:val="24"/>
          <w:highlight w:val="yellow"/>
        </w:rPr>
      </w:pPr>
    </w:p>
    <w:p w14:paraId="2DA193AF" w14:textId="7510ACC1" w:rsidR="00D90ABC" w:rsidRDefault="007973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ON</w:t>
      </w:r>
    </w:p>
    <w:p w14:paraId="2AAB7E29" w14:textId="77777777" w:rsidR="00D90ABC" w:rsidRDefault="00D90ABC">
      <w:pPr>
        <w:spacing w:after="0" w:line="240" w:lineRule="auto"/>
        <w:jc w:val="center"/>
        <w:rPr>
          <w:rFonts w:ascii="Times New Roman" w:eastAsia="Times New Roman" w:hAnsi="Times New Roman" w:cs="Times New Roman"/>
          <w:b/>
          <w:sz w:val="28"/>
          <w:szCs w:val="28"/>
        </w:rPr>
      </w:pPr>
    </w:p>
    <w:p w14:paraId="1013BFB7" w14:textId="7A52ACC3" w:rsidR="00D90ABC" w:rsidRDefault="007973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PROMOTING PARLIAMENTARY COOPERATION FOR SUSTAINABLE AND INCLUSIVE ECONOMIC GROWTH IN ASEAN THROUGH ENVIRONMENTAL, SOCIAL AND GOVERNANCE (ESG) APPROACH</w:t>
      </w:r>
    </w:p>
    <w:p w14:paraId="50BAC05B" w14:textId="77777777" w:rsidR="00703FF1" w:rsidRDefault="00703FF1">
      <w:pPr>
        <w:spacing w:after="0" w:line="240" w:lineRule="auto"/>
        <w:jc w:val="center"/>
        <w:rPr>
          <w:rFonts w:ascii="Times New Roman" w:eastAsia="Times New Roman" w:hAnsi="Times New Roman" w:cs="Times New Roman"/>
          <w:b/>
          <w:sz w:val="28"/>
          <w:szCs w:val="28"/>
        </w:rPr>
      </w:pPr>
    </w:p>
    <w:p w14:paraId="60AE9AA2" w14:textId="56D07989" w:rsidR="00D90ABC" w:rsidRDefault="00703FF1" w:rsidP="00703FF1">
      <w:pPr>
        <w:spacing w:after="0" w:line="240" w:lineRule="auto"/>
        <w:jc w:val="center"/>
        <w:rPr>
          <w:b/>
          <w:sz w:val="24"/>
          <w:szCs w:val="24"/>
        </w:rPr>
      </w:pPr>
      <w:r>
        <w:rPr>
          <w:rFonts w:ascii="Times New Roman" w:eastAsia="Times New Roman" w:hAnsi="Times New Roman" w:cs="Times New Roman"/>
          <w:b/>
          <w:i/>
          <w:color w:val="000000"/>
          <w:sz w:val="24"/>
          <w:szCs w:val="24"/>
        </w:rPr>
        <w:t>Sponsored by Cambodia</w:t>
      </w:r>
    </w:p>
    <w:p w14:paraId="256F19D0" w14:textId="252A5A19" w:rsidR="00D90ABC" w:rsidRDefault="00190F3B">
      <w:pPr>
        <w:spacing w:after="31"/>
        <w:ind w:right="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Co-s</w:t>
      </w:r>
      <w:r w:rsidR="00797325">
        <w:rPr>
          <w:rFonts w:ascii="Times New Roman" w:eastAsia="Times New Roman" w:hAnsi="Times New Roman" w:cs="Times New Roman"/>
          <w:b/>
          <w:i/>
          <w:color w:val="000000"/>
          <w:sz w:val="24"/>
          <w:szCs w:val="24"/>
        </w:rPr>
        <w:t>ponsored by</w:t>
      </w:r>
      <w:r>
        <w:rPr>
          <w:rFonts w:ascii="Times New Roman" w:eastAsia="Times New Roman" w:hAnsi="Times New Roman" w:cs="Times New Roman"/>
          <w:b/>
          <w:i/>
          <w:color w:val="000000"/>
          <w:sz w:val="24"/>
          <w:szCs w:val="24"/>
        </w:rPr>
        <w:t xml:space="preserve"> Viet Nam</w:t>
      </w:r>
    </w:p>
    <w:p w14:paraId="323DF5B0" w14:textId="77777777" w:rsidR="00D90ABC" w:rsidRDefault="00D90ABC">
      <w:pPr>
        <w:spacing w:after="31"/>
        <w:rPr>
          <w:rFonts w:ascii="Times New Roman" w:eastAsia="Times New Roman" w:hAnsi="Times New Roman" w:cs="Times New Roman"/>
          <w:color w:val="000000"/>
          <w:sz w:val="24"/>
          <w:szCs w:val="24"/>
        </w:rPr>
      </w:pPr>
    </w:p>
    <w:p w14:paraId="0E073276" w14:textId="77777777" w:rsidR="00D90ABC" w:rsidRDefault="00797325">
      <w:pPr>
        <w:spacing w:after="31" w:line="240" w:lineRule="auto"/>
        <w:ind w:left="-5" w:hanging="1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The Forty-Third AIPA General Assembly:  </w:t>
      </w:r>
    </w:p>
    <w:p w14:paraId="4527A452" w14:textId="77777777" w:rsidR="00D90ABC" w:rsidRDefault="00797325">
      <w:pPr>
        <w:spacing w:after="7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CD7B442" w14:textId="7EFB681C" w:rsidR="00D90ABC" w:rsidRDefault="00A56D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Implementation Plan of ASEAN Comprehensive Recovery Framework adopted at the 37th ASEAN Summit, key areas of focus for a sustainable and resilient future in ASEAN include Circular Economy, Sustainable Energy, Green Infrastructure, Sustainable Investments, Sustainable Agriculture and Sustainable Financing, the Joint Communique of the 55th ASEAN Foreign Ministers’ Meeting adopted in August 2022 in Phnom Penh, Kingdom of Cambodia, and the United Nations Agenda 2030 for Sustainable Development;</w:t>
      </w:r>
    </w:p>
    <w:p w14:paraId="1A2B12FB" w14:textId="77777777" w:rsidR="00D90ABC" w:rsidRDefault="00D90ABC">
      <w:pPr>
        <w:spacing w:after="0" w:line="240" w:lineRule="auto"/>
        <w:jc w:val="both"/>
        <w:rPr>
          <w:rFonts w:ascii="Times New Roman" w:eastAsia="Times New Roman" w:hAnsi="Times New Roman" w:cs="Times New Roman"/>
          <w:sz w:val="24"/>
          <w:szCs w:val="24"/>
        </w:rPr>
      </w:pPr>
    </w:p>
    <w:p w14:paraId="0183FA35" w14:textId="1644A6C2"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t xml:space="preserve">Supporting </w:t>
      </w:r>
      <w:r w:rsidRPr="003A7CB9">
        <w:rPr>
          <w:rFonts w:ascii="Times New Roman" w:eastAsia="Times New Roman" w:hAnsi="Times New Roman" w:cs="Times New Roman"/>
          <w:sz w:val="24"/>
          <w:szCs w:val="24"/>
        </w:rPr>
        <w:t>the proposed development of ASEAN Green Deal</w:t>
      </w:r>
      <w:r w:rsidR="00DA1B63" w:rsidRPr="003A7CB9">
        <w:rPr>
          <w:rFonts w:ascii="Times New Roman" w:eastAsia="Times New Roman" w:hAnsi="Times New Roman" w:cs="Times New Roman"/>
          <w:sz w:val="24"/>
          <w:szCs w:val="24"/>
        </w:rPr>
        <w:t xml:space="preserve"> an initiative of</w:t>
      </w:r>
      <w:r w:rsidRPr="003A7CB9">
        <w:rPr>
          <w:rFonts w:ascii="Times New Roman" w:eastAsia="Times New Roman" w:hAnsi="Times New Roman" w:cs="Times New Roman"/>
          <w:sz w:val="24"/>
          <w:szCs w:val="24"/>
        </w:rPr>
        <w:t xml:space="preserve"> Prime Minister Hun Sen, </w:t>
      </w:r>
      <w:r w:rsidR="00DA1B63" w:rsidRPr="003A7CB9">
        <w:rPr>
          <w:rFonts w:ascii="Times New Roman" w:eastAsia="Times New Roman" w:hAnsi="Times New Roman" w:cs="Times New Roman"/>
          <w:sz w:val="24"/>
          <w:szCs w:val="24"/>
        </w:rPr>
        <w:t xml:space="preserve">as </w:t>
      </w:r>
      <w:r w:rsidRPr="003A7CB9">
        <w:rPr>
          <w:rFonts w:ascii="Times New Roman" w:eastAsia="Times New Roman" w:hAnsi="Times New Roman" w:cs="Times New Roman"/>
          <w:sz w:val="24"/>
          <w:szCs w:val="24"/>
        </w:rPr>
        <w:t xml:space="preserve">ASEAN Chair 2022, </w:t>
      </w:r>
      <w:r w:rsidR="00DA1B63" w:rsidRPr="003A7CB9">
        <w:rPr>
          <w:rFonts w:ascii="Times New Roman" w:eastAsia="Times New Roman" w:hAnsi="Times New Roman" w:cs="Times New Roman"/>
          <w:sz w:val="24"/>
          <w:szCs w:val="24"/>
        </w:rPr>
        <w:t xml:space="preserve">for ASEAN in promoting sustainability, resilience, and inclusiveness for regional development </w:t>
      </w:r>
      <w:r w:rsidRPr="003A7CB9">
        <w:rPr>
          <w:rFonts w:ascii="Times New Roman" w:eastAsia="Times New Roman" w:hAnsi="Times New Roman" w:cs="Times New Roman"/>
          <w:sz w:val="24"/>
          <w:szCs w:val="24"/>
        </w:rPr>
        <w:t>and ASEAN Chair’s Statement on Addressing Challenges Together, which was adopted on 13 November 2022 in Phnom Penh, the Kingdom of Cambodia;</w:t>
      </w:r>
    </w:p>
    <w:p w14:paraId="3F22809F" w14:textId="77777777" w:rsidR="00D90ABC" w:rsidRDefault="00D90ABC">
      <w:pPr>
        <w:spacing w:after="0" w:line="240" w:lineRule="auto"/>
        <w:jc w:val="both"/>
        <w:rPr>
          <w:rFonts w:ascii="Times New Roman" w:eastAsia="Times New Roman" w:hAnsi="Times New Roman" w:cs="Times New Roman"/>
          <w:sz w:val="24"/>
          <w:szCs w:val="24"/>
        </w:rPr>
      </w:pPr>
    </w:p>
    <w:p w14:paraId="29AD248A" w14:textId="195CD82D" w:rsidR="00D90ABC" w:rsidRDefault="00A56D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Recognising</w:t>
      </w:r>
      <w:r>
        <w:rPr>
          <w:rFonts w:ascii="Times New Roman" w:eastAsia="Times New Roman" w:hAnsi="Times New Roman" w:cs="Times New Roman"/>
          <w:sz w:val="24"/>
          <w:szCs w:val="24"/>
        </w:rPr>
        <w:t xml:space="preserve"> the spirit of the ASEAN Economic Community Blueprint 2025 and ASEAN Community Vision 2025 and the increasingly vital role of the ASEAN Member States (AMS) in promoting corporate social responsibility in environmental, social and governance areas in the ASEAN community to achieve sustainable and inclusive growth for the region;</w:t>
      </w:r>
    </w:p>
    <w:p w14:paraId="725F79BA" w14:textId="77777777" w:rsidR="00D90ABC" w:rsidRDefault="00D90ABC">
      <w:pPr>
        <w:spacing w:after="0" w:line="240" w:lineRule="auto"/>
        <w:jc w:val="both"/>
        <w:rPr>
          <w:rFonts w:ascii="Times New Roman" w:eastAsia="Times New Roman" w:hAnsi="Times New Roman" w:cs="Times New Roman"/>
          <w:sz w:val="24"/>
          <w:szCs w:val="24"/>
        </w:rPr>
      </w:pPr>
    </w:p>
    <w:p w14:paraId="53CDCC3B" w14:textId="2893F744"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t>Acknowledging</w:t>
      </w:r>
      <w:r w:rsidRPr="003A7CB9">
        <w:rPr>
          <w:rFonts w:ascii="Times New Roman" w:eastAsia="Times New Roman" w:hAnsi="Times New Roman" w:cs="Times New Roman"/>
          <w:sz w:val="24"/>
          <w:szCs w:val="24"/>
        </w:rPr>
        <w:t xml:space="preserve"> the increasingly important roles of </w:t>
      </w:r>
      <w:r w:rsidR="009B69D8" w:rsidRPr="003A7CB9">
        <w:rPr>
          <w:rFonts w:ascii="Times New Roman" w:eastAsia="Times New Roman" w:hAnsi="Times New Roman" w:cs="Times New Roman"/>
          <w:sz w:val="24"/>
          <w:szCs w:val="24"/>
        </w:rPr>
        <w:t>national parliaments through the enactment of legislation and adoption of budgets</w:t>
      </w:r>
      <w:r w:rsidRPr="003A7CB9">
        <w:rPr>
          <w:rFonts w:ascii="Times New Roman" w:eastAsia="Times New Roman" w:hAnsi="Times New Roman" w:cs="Times New Roman"/>
          <w:sz w:val="24"/>
          <w:szCs w:val="24"/>
        </w:rPr>
        <w:t xml:space="preserve"> </w:t>
      </w:r>
      <w:r w:rsidR="009B69D8" w:rsidRPr="003A7CB9">
        <w:rPr>
          <w:rFonts w:ascii="Times New Roman" w:eastAsia="Times New Roman" w:hAnsi="Times New Roman" w:cs="Times New Roman"/>
          <w:sz w:val="24"/>
          <w:szCs w:val="24"/>
        </w:rPr>
        <w:t xml:space="preserve">to foster </w:t>
      </w:r>
      <w:r w:rsidRPr="003A7CB9">
        <w:rPr>
          <w:rFonts w:ascii="Times New Roman" w:eastAsia="Times New Roman" w:hAnsi="Times New Roman" w:cs="Times New Roman"/>
          <w:sz w:val="24"/>
          <w:szCs w:val="24"/>
        </w:rPr>
        <w:t xml:space="preserve">sustainable development and post-pandemic </w:t>
      </w:r>
      <w:r w:rsidR="008C783F" w:rsidRPr="003A7CB9">
        <w:rPr>
          <w:rFonts w:ascii="Times New Roman" w:eastAsia="Times New Roman" w:hAnsi="Times New Roman" w:cs="Times New Roman"/>
          <w:sz w:val="24"/>
          <w:szCs w:val="24"/>
        </w:rPr>
        <w:t>socio-</w:t>
      </w:r>
      <w:r w:rsidRPr="003A7CB9">
        <w:rPr>
          <w:rFonts w:ascii="Times New Roman" w:eastAsia="Times New Roman" w:hAnsi="Times New Roman" w:cs="Times New Roman"/>
          <w:sz w:val="24"/>
          <w:szCs w:val="24"/>
        </w:rPr>
        <w:t>economic</w:t>
      </w:r>
      <w:r w:rsidR="009B1B78"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recovery</w:t>
      </w:r>
      <w:r w:rsidR="009B1B78"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as well </w:t>
      </w:r>
      <w:r w:rsidR="003A7CB9" w:rsidRPr="003A7CB9">
        <w:rPr>
          <w:rFonts w:ascii="Times New Roman" w:eastAsia="Times New Roman" w:hAnsi="Times New Roman" w:cs="Times New Roman"/>
          <w:sz w:val="24"/>
          <w:szCs w:val="24"/>
        </w:rPr>
        <w:t>as promoting</w:t>
      </w:r>
      <w:r w:rsidRPr="003A7CB9">
        <w:rPr>
          <w:rFonts w:ascii="Times New Roman" w:eastAsia="Times New Roman" w:hAnsi="Times New Roman" w:cs="Times New Roman"/>
          <w:sz w:val="24"/>
          <w:szCs w:val="24"/>
        </w:rPr>
        <w:t xml:space="preserve"> peacebuilding and people-to-people relations.</w:t>
      </w:r>
    </w:p>
    <w:p w14:paraId="1920D06C" w14:textId="77777777" w:rsidR="00D90ABC" w:rsidRDefault="00D90ABC">
      <w:pPr>
        <w:spacing w:after="0" w:line="240" w:lineRule="auto"/>
        <w:jc w:val="both"/>
        <w:rPr>
          <w:rFonts w:ascii="Times New Roman" w:eastAsia="Times New Roman" w:hAnsi="Times New Roman" w:cs="Times New Roman"/>
          <w:sz w:val="24"/>
          <w:szCs w:val="24"/>
        </w:rPr>
      </w:pPr>
    </w:p>
    <w:p w14:paraId="1AE882AC" w14:textId="77777777" w:rsidR="00D90ABC" w:rsidRDefault="00797325">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Hereby resolves to:</w:t>
      </w:r>
    </w:p>
    <w:p w14:paraId="64E9C63E" w14:textId="2726EA8F" w:rsidR="00D90ABC" w:rsidRDefault="00A56D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Affirm and reaffirm</w:t>
      </w:r>
      <w:r>
        <w:rPr>
          <w:rFonts w:ascii="Times New Roman" w:eastAsia="Times New Roman" w:hAnsi="Times New Roman" w:cs="Times New Roman"/>
          <w:sz w:val="24"/>
          <w:szCs w:val="24"/>
        </w:rPr>
        <w:t xml:space="preserve"> the deliberate intent of our parliaments to promote sustainable and inclusive development to serve the needs and promote the well-being of the people</w:t>
      </w:r>
      <w:r w:rsidR="00326A3F">
        <w:rPr>
          <w:rFonts w:ascii="Times New Roman" w:eastAsia="Times New Roman" w:hAnsi="Times New Roman" w:cs="Times New Roman"/>
          <w:sz w:val="24"/>
          <w:szCs w:val="24"/>
        </w:rPr>
        <w:t xml:space="preserve"> including </w:t>
      </w:r>
      <w:r w:rsidR="00326A3F">
        <w:rPr>
          <w:rFonts w:ascii="Times New Roman" w:eastAsia="Times New Roman" w:hAnsi="Times New Roman" w:cs="Times New Roman"/>
          <w:sz w:val="24"/>
          <w:szCs w:val="24"/>
        </w:rPr>
        <w:lastRenderedPageBreak/>
        <w:t>greater use of</w:t>
      </w:r>
      <w:r>
        <w:rPr>
          <w:rFonts w:ascii="Times New Roman" w:eastAsia="Times New Roman" w:hAnsi="Times New Roman" w:cs="Times New Roman"/>
          <w:sz w:val="24"/>
          <w:szCs w:val="24"/>
        </w:rPr>
        <w:t xml:space="preserve"> Environmental, Social and Governance (ESG) approach</w:t>
      </w:r>
      <w:r w:rsidR="00326A3F">
        <w:rPr>
          <w:rFonts w:ascii="Times New Roman" w:eastAsia="Times New Roman" w:hAnsi="Times New Roman" w:cs="Times New Roman"/>
          <w:sz w:val="24"/>
          <w:szCs w:val="24"/>
        </w:rPr>
        <w:t>es in the public, private and people sector</w:t>
      </w:r>
      <w:r>
        <w:rPr>
          <w:rFonts w:ascii="Times New Roman" w:eastAsia="Times New Roman" w:hAnsi="Times New Roman" w:cs="Times New Roman"/>
          <w:sz w:val="24"/>
          <w:szCs w:val="24"/>
        </w:rPr>
        <w:t xml:space="preserve">; </w:t>
      </w:r>
    </w:p>
    <w:p w14:paraId="7767167B" w14:textId="77777777" w:rsidR="00D90ABC" w:rsidRDefault="00D90ABC">
      <w:pPr>
        <w:spacing w:after="0" w:line="240" w:lineRule="auto"/>
        <w:ind w:left="360"/>
        <w:jc w:val="both"/>
        <w:rPr>
          <w:rFonts w:ascii="Times New Roman" w:eastAsia="Times New Roman" w:hAnsi="Times New Roman" w:cs="Times New Roman"/>
          <w:sz w:val="24"/>
          <w:szCs w:val="24"/>
        </w:rPr>
      </w:pPr>
    </w:p>
    <w:p w14:paraId="48D66458" w14:textId="1B887D09" w:rsidR="00D90ABC" w:rsidRDefault="00A56D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Pledge</w:t>
      </w:r>
      <w:r>
        <w:rPr>
          <w:rFonts w:ascii="Times New Roman" w:eastAsia="Times New Roman" w:hAnsi="Times New Roman" w:cs="Times New Roman"/>
          <w:sz w:val="24"/>
          <w:szCs w:val="24"/>
        </w:rPr>
        <w:t xml:space="preserve"> to promote cooperation and partnership among the AMS parliamentary platforms and mechanisms in revitalising sustainable and inclusive growth in ASEAN through parliamentary frameworks and mechanisms to </w:t>
      </w:r>
      <w:r w:rsidR="003A7CB9">
        <w:rPr>
          <w:rFonts w:ascii="Times New Roman" w:eastAsia="Times New Roman" w:hAnsi="Times New Roman" w:cs="Times New Roman"/>
          <w:sz w:val="24"/>
          <w:szCs w:val="24"/>
        </w:rPr>
        <w:t xml:space="preserve">contribute </w:t>
      </w:r>
      <w:r w:rsidR="003A7CB9" w:rsidRPr="003A7CB9">
        <w:rPr>
          <w:rFonts w:ascii="Times New Roman" w:eastAsia="Times New Roman" w:hAnsi="Times New Roman" w:cs="Times New Roman"/>
          <w:sz w:val="24"/>
          <w:szCs w:val="24"/>
        </w:rPr>
        <w:t>proactively</w:t>
      </w:r>
      <w:r w:rsidR="001E5383" w:rsidRPr="003A7C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enhancing ASEAN’s competitiveness and realising the sustainable, inclusive and resilient future of ASEAN;</w:t>
      </w:r>
    </w:p>
    <w:p w14:paraId="63D460F4" w14:textId="77777777" w:rsidR="00D90ABC" w:rsidRDefault="00D90ABC">
      <w:pPr>
        <w:spacing w:after="0"/>
        <w:ind w:left="720"/>
        <w:rPr>
          <w:rFonts w:ascii="Times New Roman" w:eastAsia="Times New Roman" w:hAnsi="Times New Roman" w:cs="Times New Roman"/>
          <w:sz w:val="24"/>
          <w:szCs w:val="24"/>
        </w:rPr>
      </w:pPr>
    </w:p>
    <w:p w14:paraId="65985A70" w14:textId="5B2B9CCC"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t>Urge</w:t>
      </w:r>
      <w:r w:rsidRPr="003A7CB9">
        <w:rPr>
          <w:rFonts w:ascii="Times New Roman" w:eastAsia="Times New Roman" w:hAnsi="Times New Roman" w:cs="Times New Roman"/>
          <w:sz w:val="24"/>
          <w:szCs w:val="24"/>
        </w:rPr>
        <w:t xml:space="preserve"> </w:t>
      </w:r>
      <w:r w:rsidR="009B69D8" w:rsidRPr="003A7CB9">
        <w:rPr>
          <w:rFonts w:ascii="Times New Roman" w:eastAsia="Times New Roman" w:hAnsi="Times New Roman" w:cs="Times New Roman"/>
          <w:sz w:val="24"/>
          <w:szCs w:val="24"/>
        </w:rPr>
        <w:t>the AIPA Member Parliaments</w:t>
      </w:r>
      <w:r w:rsidR="00326A3F" w:rsidRPr="003A7CB9">
        <w:rPr>
          <w:rFonts w:ascii="Times New Roman" w:eastAsia="Times New Roman" w:hAnsi="Times New Roman" w:cs="Times New Roman"/>
          <w:sz w:val="24"/>
          <w:szCs w:val="24"/>
        </w:rPr>
        <w:t xml:space="preserve"> and the ASEAN Member States</w:t>
      </w:r>
      <w:r w:rsidR="009B69D8" w:rsidRPr="003A7CB9">
        <w:rPr>
          <w:rFonts w:ascii="Times New Roman" w:eastAsia="Times New Roman" w:hAnsi="Times New Roman" w:cs="Times New Roman"/>
          <w:sz w:val="24"/>
          <w:szCs w:val="24"/>
        </w:rPr>
        <w:t xml:space="preserve"> to support</w:t>
      </w:r>
      <w:r w:rsidR="001E5383"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the Implementation Plan of ASEAN Comprehensive Recovery Framework adopted at the 37th ASEAN Summit to achieve an inclusive and resilient future of ASEAN in such areas </w:t>
      </w:r>
      <w:r w:rsidR="002B415F" w:rsidRPr="003A7CB9">
        <w:rPr>
          <w:rFonts w:ascii="Times New Roman" w:eastAsia="Times New Roman" w:hAnsi="Times New Roman" w:cs="Times New Roman"/>
          <w:sz w:val="24"/>
          <w:szCs w:val="24"/>
        </w:rPr>
        <w:t>but not limited to</w:t>
      </w:r>
      <w:r w:rsidRPr="003A7CB9">
        <w:rPr>
          <w:rFonts w:ascii="Times New Roman" w:eastAsia="Times New Roman" w:hAnsi="Times New Roman" w:cs="Times New Roman"/>
          <w:sz w:val="24"/>
          <w:szCs w:val="24"/>
        </w:rPr>
        <w:t xml:space="preserve"> circular </w:t>
      </w:r>
      <w:r w:rsidR="009B69D8" w:rsidRPr="003A7CB9">
        <w:rPr>
          <w:rFonts w:ascii="Times New Roman" w:eastAsia="Times New Roman" w:hAnsi="Times New Roman" w:cs="Times New Roman"/>
          <w:sz w:val="24"/>
          <w:szCs w:val="24"/>
        </w:rPr>
        <w:t xml:space="preserve">and green </w:t>
      </w:r>
      <w:r w:rsidRPr="003A7CB9">
        <w:rPr>
          <w:rFonts w:ascii="Times New Roman" w:eastAsia="Times New Roman" w:hAnsi="Times New Roman" w:cs="Times New Roman"/>
          <w:sz w:val="24"/>
          <w:szCs w:val="24"/>
        </w:rPr>
        <w:t>economy,</w:t>
      </w:r>
      <w:r w:rsidR="002B415F" w:rsidRPr="003A7CB9">
        <w:rPr>
          <w:rFonts w:ascii="Times New Roman" w:eastAsia="Times New Roman" w:hAnsi="Times New Roman" w:cs="Times New Roman"/>
          <w:sz w:val="24"/>
          <w:szCs w:val="24"/>
        </w:rPr>
        <w:t xml:space="preserve"> regional economy integration, regional connectivity</w:t>
      </w:r>
      <w:r w:rsidR="003A7CB9"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sustainable </w:t>
      </w:r>
      <w:r w:rsidR="009B69D8" w:rsidRPr="003A7CB9">
        <w:rPr>
          <w:rFonts w:ascii="Times New Roman" w:eastAsia="Times New Roman" w:hAnsi="Times New Roman" w:cs="Times New Roman"/>
          <w:sz w:val="24"/>
          <w:szCs w:val="24"/>
        </w:rPr>
        <w:t xml:space="preserve">and clean </w:t>
      </w:r>
      <w:r w:rsidRPr="003A7CB9">
        <w:rPr>
          <w:rFonts w:ascii="Times New Roman" w:eastAsia="Times New Roman" w:hAnsi="Times New Roman" w:cs="Times New Roman"/>
          <w:sz w:val="24"/>
          <w:szCs w:val="24"/>
        </w:rPr>
        <w:t>energy, green infrastructure, sustainable investments,</w:t>
      </w:r>
      <w:r w:rsidR="002B415F" w:rsidRPr="003A7CB9">
        <w:rPr>
          <w:rFonts w:ascii="Times New Roman" w:eastAsia="Times New Roman" w:hAnsi="Times New Roman" w:cs="Times New Roman"/>
          <w:sz w:val="24"/>
          <w:szCs w:val="24"/>
        </w:rPr>
        <w:t xml:space="preserve"> food security and nutrition</w:t>
      </w:r>
      <w:r w:rsidR="003A7CB9"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sustainable agriculture and sustainable finance;</w:t>
      </w:r>
    </w:p>
    <w:p w14:paraId="20D266D0" w14:textId="77777777" w:rsidR="00D90ABC" w:rsidRDefault="00D90ABC">
      <w:pPr>
        <w:spacing w:after="0" w:line="240" w:lineRule="auto"/>
        <w:jc w:val="both"/>
        <w:rPr>
          <w:rFonts w:ascii="Times New Roman" w:eastAsia="Times New Roman" w:hAnsi="Times New Roman" w:cs="Times New Roman"/>
          <w:sz w:val="24"/>
          <w:szCs w:val="24"/>
        </w:rPr>
      </w:pPr>
    </w:p>
    <w:p w14:paraId="30C7304D" w14:textId="12C66A27" w:rsidR="00785E73" w:rsidRPr="00EA3596" w:rsidRDefault="00785E73" w:rsidP="00785E73">
      <w:pPr>
        <w:spacing w:after="0" w:line="240" w:lineRule="auto"/>
        <w:jc w:val="both"/>
        <w:rPr>
          <w:rFonts w:ascii="Times New Roman" w:eastAsia="Times New Roman" w:hAnsi="Times New Roman" w:cs="Times New Roman"/>
          <w:bCs/>
          <w:iCs/>
          <w:sz w:val="24"/>
          <w:szCs w:val="24"/>
        </w:rPr>
      </w:pPr>
      <w:r w:rsidRPr="00EA3596">
        <w:rPr>
          <w:rFonts w:ascii="Times New Roman" w:eastAsia="Times New Roman" w:hAnsi="Times New Roman" w:cs="Times New Roman"/>
          <w:b/>
          <w:i/>
          <w:sz w:val="24"/>
          <w:szCs w:val="24"/>
        </w:rPr>
        <w:t>Call upon</w:t>
      </w:r>
      <w:r w:rsidRPr="00EA3596">
        <w:rPr>
          <w:rFonts w:ascii="Times New Roman" w:eastAsia="Times New Roman" w:hAnsi="Times New Roman" w:cs="Times New Roman"/>
          <w:bCs/>
          <w:iCs/>
          <w:sz w:val="24"/>
          <w:szCs w:val="24"/>
        </w:rPr>
        <w:t xml:space="preserve"> the governments of the ASEAN Member States to address the challenges together by developing relevant ESG performance indicators and indexes that promote the safeguarding of environmental, labour and social protections, for example in line with those alluded in the proposed ASEAN Green Deal, in line with the vision and roadmap of the ASEAN Economic Community 2025, and to recommend priority principles encouraging businesses and producers to comply with ESG standards for sustainable and inclusive development;</w:t>
      </w:r>
    </w:p>
    <w:p w14:paraId="0A42F410" w14:textId="77777777" w:rsidR="00785E73" w:rsidRPr="00EA3596" w:rsidRDefault="00785E73" w:rsidP="00785E73">
      <w:pPr>
        <w:spacing w:after="0" w:line="240" w:lineRule="auto"/>
        <w:jc w:val="both"/>
        <w:rPr>
          <w:rFonts w:ascii="Times New Roman" w:eastAsia="Times New Roman" w:hAnsi="Times New Roman" w:cs="Times New Roman"/>
          <w:bCs/>
          <w:iCs/>
          <w:sz w:val="24"/>
          <w:szCs w:val="24"/>
        </w:rPr>
      </w:pPr>
    </w:p>
    <w:p w14:paraId="163DC84F" w14:textId="24D570BB" w:rsidR="00785E73" w:rsidRPr="003A7CB9" w:rsidRDefault="00785E73" w:rsidP="00785E73">
      <w:pPr>
        <w:spacing w:after="0" w:line="240" w:lineRule="auto"/>
        <w:jc w:val="both"/>
        <w:rPr>
          <w:rFonts w:ascii="Times New Roman" w:eastAsia="Times New Roman" w:hAnsi="Times New Roman" w:cs="Times New Roman"/>
          <w:sz w:val="24"/>
          <w:szCs w:val="24"/>
        </w:rPr>
      </w:pPr>
      <w:r w:rsidRPr="00EA3596">
        <w:rPr>
          <w:rFonts w:ascii="Times New Roman" w:eastAsia="Times New Roman" w:hAnsi="Times New Roman" w:cs="Times New Roman"/>
          <w:b/>
          <w:i/>
          <w:sz w:val="24"/>
          <w:szCs w:val="24"/>
        </w:rPr>
        <w:t>Further urge</w:t>
      </w:r>
      <w:r w:rsidRPr="00EA3596">
        <w:rPr>
          <w:rFonts w:ascii="Times New Roman" w:eastAsia="Times New Roman" w:hAnsi="Times New Roman" w:cs="Times New Roman"/>
          <w:bCs/>
          <w:iCs/>
          <w:sz w:val="24"/>
          <w:szCs w:val="24"/>
        </w:rPr>
        <w:t xml:space="preserve"> the governments of ASEAN Member States to develop a regional action plan, roadmap and/or an implementation framework to review and assess the progress, and take a regional approach that incentivises the activities of the private sector and investment in areas that contribute to the promotion of the ESG practices in businesses and corporate transactions, including financial instruments such as sustainable loans or green bonds;</w:t>
      </w:r>
    </w:p>
    <w:p w14:paraId="4F2836CF" w14:textId="54CB95B0" w:rsidR="008C783F" w:rsidRDefault="008C783F">
      <w:pPr>
        <w:spacing w:after="0" w:line="240" w:lineRule="auto"/>
        <w:jc w:val="both"/>
        <w:rPr>
          <w:rFonts w:ascii="Times New Roman" w:eastAsia="Times New Roman" w:hAnsi="Times New Roman" w:cs="Times New Roman"/>
          <w:sz w:val="24"/>
          <w:szCs w:val="24"/>
        </w:rPr>
      </w:pPr>
    </w:p>
    <w:p w14:paraId="213A6FC2" w14:textId="4BA3D9B2" w:rsidR="008C783F" w:rsidRPr="003A7CB9" w:rsidRDefault="005A323D">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bCs/>
          <w:i/>
          <w:iCs/>
          <w:sz w:val="24"/>
          <w:szCs w:val="24"/>
        </w:rPr>
        <w:t>Encourag</w:t>
      </w:r>
      <w:r w:rsidR="00703FF1">
        <w:rPr>
          <w:rFonts w:ascii="Times New Roman" w:eastAsia="Times New Roman" w:hAnsi="Times New Roman" w:cs="Times New Roman"/>
          <w:b/>
          <w:bCs/>
          <w:i/>
          <w:iCs/>
          <w:sz w:val="24"/>
          <w:szCs w:val="24"/>
        </w:rPr>
        <w:t>e</w:t>
      </w:r>
      <w:r w:rsidR="008C783F" w:rsidRPr="003A7CB9">
        <w:rPr>
          <w:rFonts w:ascii="Times New Roman" w:eastAsia="Times New Roman" w:hAnsi="Times New Roman" w:cs="Times New Roman"/>
          <w:sz w:val="24"/>
          <w:szCs w:val="24"/>
        </w:rPr>
        <w:t xml:space="preserve"> the inclusion of standards related to privacy, security </w:t>
      </w:r>
      <w:r w:rsidRPr="003A7CB9">
        <w:rPr>
          <w:rFonts w:ascii="Times New Roman" w:eastAsia="Times New Roman" w:hAnsi="Times New Roman" w:cs="Times New Roman"/>
          <w:sz w:val="24"/>
          <w:szCs w:val="24"/>
        </w:rPr>
        <w:t>including</w:t>
      </w:r>
      <w:r w:rsidR="008C783F" w:rsidRPr="003A7CB9">
        <w:rPr>
          <w:rFonts w:ascii="Times New Roman" w:eastAsia="Times New Roman" w:hAnsi="Times New Roman" w:cs="Times New Roman"/>
          <w:sz w:val="24"/>
          <w:szCs w:val="24"/>
        </w:rPr>
        <w:t xml:space="preserve"> data security, and intellectual property in commercial agreements, along with standards related to environmental protection, risk management calls for wider application of such standards in the future; At the same time, </w:t>
      </w:r>
      <w:r w:rsidRPr="003A7CB9">
        <w:rPr>
          <w:rFonts w:ascii="Times New Roman" w:eastAsia="Times New Roman" w:hAnsi="Times New Roman" w:cs="Times New Roman"/>
          <w:sz w:val="24"/>
          <w:szCs w:val="24"/>
        </w:rPr>
        <w:t>also u</w:t>
      </w:r>
      <w:r w:rsidR="008C783F" w:rsidRPr="003A7CB9">
        <w:rPr>
          <w:rFonts w:ascii="Times New Roman" w:eastAsia="Times New Roman" w:hAnsi="Times New Roman" w:cs="Times New Roman"/>
          <w:sz w:val="24"/>
          <w:szCs w:val="24"/>
        </w:rPr>
        <w:t>rging AIPA member parliaments to strengthen the supervision of corporate governance and operation, in which it is necessary to emphasize commitments on human rights, information security and environmental protection; perfecting domestic mechanisms, policies and laws in line with international agreements and commitments;</w:t>
      </w:r>
    </w:p>
    <w:p w14:paraId="32368331" w14:textId="77777777" w:rsidR="00D90ABC" w:rsidRDefault="00D90ABC">
      <w:pPr>
        <w:spacing w:after="0"/>
        <w:ind w:left="720"/>
        <w:rPr>
          <w:rFonts w:ascii="Times New Roman" w:eastAsia="Times New Roman" w:hAnsi="Times New Roman" w:cs="Times New Roman"/>
          <w:sz w:val="24"/>
          <w:szCs w:val="24"/>
        </w:rPr>
      </w:pPr>
    </w:p>
    <w:p w14:paraId="7053CBB6" w14:textId="6B4B5A35"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t>Further urge</w:t>
      </w:r>
      <w:r w:rsidRPr="003A7CB9">
        <w:rPr>
          <w:rFonts w:ascii="Times New Roman" w:eastAsia="Times New Roman" w:hAnsi="Times New Roman" w:cs="Times New Roman"/>
          <w:sz w:val="24"/>
          <w:szCs w:val="24"/>
        </w:rPr>
        <w:t xml:space="preserve"> the international community, including governments, private sector and civil society organisations in ASEAN to deepen cooperation and</w:t>
      </w:r>
      <w:r w:rsidR="005A323D" w:rsidRPr="003A7CB9">
        <w:rPr>
          <w:rFonts w:ascii="Times New Roman" w:eastAsia="Times New Roman" w:hAnsi="Times New Roman" w:cs="Times New Roman"/>
          <w:sz w:val="24"/>
          <w:szCs w:val="24"/>
        </w:rPr>
        <w:t xml:space="preserve"> strategic</w:t>
      </w:r>
      <w:r w:rsidRPr="003A7CB9">
        <w:rPr>
          <w:rFonts w:ascii="Times New Roman" w:eastAsia="Times New Roman" w:hAnsi="Times New Roman" w:cs="Times New Roman"/>
          <w:sz w:val="24"/>
          <w:szCs w:val="24"/>
        </w:rPr>
        <w:t xml:space="preserve"> partnership in investment  and development of clean and renewable energy and in the sharing of expertise as well as technical and financial resources</w:t>
      </w:r>
      <w:r w:rsidR="00B2619E" w:rsidRPr="003A7CB9">
        <w:rPr>
          <w:rFonts w:ascii="Times New Roman" w:eastAsia="Times New Roman" w:hAnsi="Times New Roman" w:cs="Times New Roman"/>
          <w:sz w:val="24"/>
          <w:szCs w:val="24"/>
        </w:rPr>
        <w:t>, and through technology transfer and development</w:t>
      </w:r>
      <w:r w:rsidR="009B1B78"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in global commitments to embrace energy transition and </w:t>
      </w:r>
      <w:r w:rsidR="009B69D8" w:rsidRPr="003A7CB9">
        <w:rPr>
          <w:rFonts w:ascii="Times New Roman" w:eastAsia="Times New Roman" w:hAnsi="Times New Roman" w:cs="Times New Roman"/>
          <w:sz w:val="24"/>
          <w:szCs w:val="24"/>
        </w:rPr>
        <w:t>c</w:t>
      </w:r>
      <w:r w:rsidRPr="003A7CB9">
        <w:rPr>
          <w:rFonts w:ascii="Times New Roman" w:eastAsia="Times New Roman" w:hAnsi="Times New Roman" w:cs="Times New Roman"/>
          <w:sz w:val="24"/>
          <w:szCs w:val="24"/>
        </w:rPr>
        <w:t xml:space="preserve">ircular </w:t>
      </w:r>
      <w:r w:rsidR="00DE0480" w:rsidRPr="003A7CB9">
        <w:rPr>
          <w:rFonts w:ascii="Times New Roman" w:eastAsia="Times New Roman" w:hAnsi="Times New Roman" w:cs="Times New Roman"/>
          <w:sz w:val="24"/>
          <w:szCs w:val="24"/>
        </w:rPr>
        <w:t>e</w:t>
      </w:r>
      <w:r w:rsidRPr="003A7CB9">
        <w:rPr>
          <w:rFonts w:ascii="Times New Roman" w:eastAsia="Times New Roman" w:hAnsi="Times New Roman" w:cs="Times New Roman"/>
          <w:sz w:val="24"/>
          <w:szCs w:val="24"/>
        </w:rPr>
        <w:t>conomy, reduce carbon footprints and manage climate change adaptions</w:t>
      </w:r>
      <w:r w:rsidR="00DE0480" w:rsidRPr="003A7CB9">
        <w:rPr>
          <w:rFonts w:ascii="Times New Roman" w:eastAsia="Times New Roman" w:hAnsi="Times New Roman" w:cs="Times New Roman"/>
          <w:sz w:val="24"/>
          <w:szCs w:val="24"/>
        </w:rPr>
        <w:t xml:space="preserve"> towards low carbon society</w:t>
      </w:r>
      <w:r w:rsidRPr="003A7CB9">
        <w:rPr>
          <w:rFonts w:ascii="Times New Roman" w:eastAsia="Times New Roman" w:hAnsi="Times New Roman" w:cs="Times New Roman"/>
          <w:sz w:val="24"/>
          <w:szCs w:val="24"/>
        </w:rPr>
        <w:t>;</w:t>
      </w:r>
    </w:p>
    <w:p w14:paraId="59BAE7F2" w14:textId="77777777" w:rsidR="00D90ABC" w:rsidRDefault="00D90ABC">
      <w:pPr>
        <w:spacing w:after="0" w:line="240" w:lineRule="auto"/>
        <w:jc w:val="both"/>
        <w:rPr>
          <w:rFonts w:ascii="Times New Roman" w:eastAsia="Times New Roman" w:hAnsi="Times New Roman" w:cs="Times New Roman"/>
          <w:sz w:val="24"/>
          <w:szCs w:val="24"/>
        </w:rPr>
      </w:pPr>
    </w:p>
    <w:p w14:paraId="72611F3B" w14:textId="5905E931"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t>Encourage</w:t>
      </w:r>
      <w:r w:rsidRPr="003A7CB9">
        <w:rPr>
          <w:rFonts w:ascii="Times New Roman" w:eastAsia="Times New Roman" w:hAnsi="Times New Roman" w:cs="Times New Roman"/>
          <w:sz w:val="24"/>
          <w:szCs w:val="24"/>
        </w:rPr>
        <w:t xml:space="preserve"> the AIPA member parliaments</w:t>
      </w:r>
      <w:r w:rsidR="00F403E2" w:rsidRPr="003A7CB9">
        <w:rPr>
          <w:rFonts w:ascii="Times New Roman" w:eastAsia="Times New Roman" w:hAnsi="Times New Roman" w:cs="Times New Roman"/>
          <w:sz w:val="24"/>
          <w:szCs w:val="24"/>
        </w:rPr>
        <w:t xml:space="preserve"> and</w:t>
      </w:r>
      <w:r w:rsidR="00E76FD3" w:rsidRPr="003A7CB9">
        <w:rPr>
          <w:rFonts w:ascii="Times New Roman" w:eastAsia="Times New Roman" w:hAnsi="Times New Roman" w:cs="Times New Roman"/>
          <w:sz w:val="24"/>
          <w:szCs w:val="24"/>
        </w:rPr>
        <w:t xml:space="preserve"> </w:t>
      </w:r>
      <w:r w:rsidR="00F403E2" w:rsidRPr="003A7CB9">
        <w:rPr>
          <w:rFonts w:ascii="Times New Roman" w:eastAsia="Times New Roman" w:hAnsi="Times New Roman" w:cs="Times New Roman"/>
          <w:sz w:val="24"/>
          <w:szCs w:val="24"/>
        </w:rPr>
        <w:t>AMS</w:t>
      </w:r>
      <w:r w:rsidRPr="003A7CB9">
        <w:rPr>
          <w:rFonts w:ascii="Times New Roman" w:eastAsia="Times New Roman" w:hAnsi="Times New Roman" w:cs="Times New Roman"/>
          <w:sz w:val="24"/>
          <w:szCs w:val="24"/>
        </w:rPr>
        <w:t xml:space="preserve"> to take active and proactive roles in</w:t>
      </w:r>
      <w:r w:rsidR="00F403E2" w:rsidRPr="003A7CB9">
        <w:rPr>
          <w:rFonts w:ascii="Times New Roman" w:eastAsia="Times New Roman" w:hAnsi="Times New Roman" w:cs="Times New Roman"/>
          <w:sz w:val="24"/>
          <w:szCs w:val="24"/>
        </w:rPr>
        <w:t xml:space="preserve"> increasing visibility and awareness of and</w:t>
      </w:r>
      <w:r w:rsidR="001E5383"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 the discussion and policymaking on ESG approach that signifies the ASEAN’s greater attention </w:t>
      </w:r>
      <w:r w:rsidR="00C25FC7"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and acting in unison to constructively promote green </w:t>
      </w:r>
      <w:r w:rsidR="00E76FD3" w:rsidRPr="003A7CB9">
        <w:rPr>
          <w:rFonts w:ascii="Times New Roman" w:eastAsia="Times New Roman" w:hAnsi="Times New Roman" w:cs="Times New Roman"/>
          <w:sz w:val="24"/>
          <w:szCs w:val="24"/>
        </w:rPr>
        <w:t>(</w:t>
      </w:r>
      <w:r w:rsidRPr="003A7CB9">
        <w:rPr>
          <w:rFonts w:ascii="Times New Roman" w:eastAsia="Times New Roman" w:hAnsi="Times New Roman" w:cs="Times New Roman"/>
          <w:sz w:val="24"/>
          <w:szCs w:val="24"/>
        </w:rPr>
        <w:t>growth</w:t>
      </w:r>
      <w:r w:rsidR="00E76FD3"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recovery</w:t>
      </w:r>
      <w:r w:rsidR="00E76FD3" w:rsidRPr="003A7CB9">
        <w:rPr>
          <w:rFonts w:ascii="Times New Roman" w:eastAsia="Times New Roman" w:hAnsi="Times New Roman" w:cs="Times New Roman"/>
          <w:sz w:val="24"/>
          <w:szCs w:val="24"/>
        </w:rPr>
        <w:t xml:space="preserve"> and tourism)</w:t>
      </w:r>
      <w:r w:rsidRPr="003A7CB9">
        <w:rPr>
          <w:rFonts w:ascii="Times New Roman" w:eastAsia="Times New Roman" w:hAnsi="Times New Roman" w:cs="Times New Roman"/>
          <w:sz w:val="24"/>
          <w:szCs w:val="24"/>
        </w:rPr>
        <w:t xml:space="preserve"> through applications of green technologies and practices in corporate governance, environmental governance and sustainable management of scarce natural resources used in both industrial and non-industrial sectors;</w:t>
      </w:r>
    </w:p>
    <w:p w14:paraId="48D80042" w14:textId="218EBAD2" w:rsidR="008C783F" w:rsidRDefault="008C783F">
      <w:pPr>
        <w:spacing w:after="0" w:line="240" w:lineRule="auto"/>
        <w:jc w:val="both"/>
        <w:rPr>
          <w:rFonts w:ascii="Times New Roman" w:eastAsia="Times New Roman" w:hAnsi="Times New Roman" w:cs="Times New Roman"/>
          <w:sz w:val="24"/>
          <w:szCs w:val="24"/>
        </w:rPr>
      </w:pPr>
    </w:p>
    <w:p w14:paraId="016FEBF2" w14:textId="50A9EABC" w:rsidR="00D90ABC" w:rsidRPr="003A7CB9" w:rsidRDefault="008C783F" w:rsidP="003A7CB9">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bCs/>
          <w:i/>
          <w:iCs/>
          <w:sz w:val="24"/>
          <w:szCs w:val="24"/>
        </w:rPr>
        <w:t xml:space="preserve">Facilitate </w:t>
      </w:r>
      <w:r w:rsidRPr="003A7CB9">
        <w:rPr>
          <w:rFonts w:ascii="Times New Roman" w:eastAsia="Times New Roman" w:hAnsi="Times New Roman" w:cs="Times New Roman"/>
          <w:sz w:val="24"/>
          <w:szCs w:val="24"/>
        </w:rPr>
        <w:t>the use of digital</w:t>
      </w:r>
      <w:r w:rsidR="002D10C7" w:rsidRPr="003A7CB9">
        <w:rPr>
          <w:rFonts w:ascii="Times New Roman" w:eastAsia="Times New Roman" w:hAnsi="Times New Roman" w:cs="Times New Roman"/>
          <w:sz w:val="24"/>
          <w:szCs w:val="24"/>
        </w:rPr>
        <w:t xml:space="preserve"> technology</w:t>
      </w:r>
      <w:r w:rsidRPr="003A7CB9">
        <w:rPr>
          <w:rFonts w:ascii="Times New Roman" w:eastAsia="Times New Roman" w:hAnsi="Times New Roman" w:cs="Times New Roman"/>
          <w:sz w:val="24"/>
          <w:szCs w:val="24"/>
        </w:rPr>
        <w:t xml:space="preserve"> in healthcare, where appropriate; promoting financial inclusion including through digital financial services and regional payment connectivity and Improving digital legal framework and institutional capacity;</w:t>
      </w:r>
    </w:p>
    <w:p w14:paraId="3DBB51BF" w14:textId="34F4D9EF" w:rsidR="00D90ABC" w:rsidRPr="003A7CB9" w:rsidRDefault="00A56DBE">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i/>
          <w:sz w:val="24"/>
          <w:szCs w:val="24"/>
        </w:rPr>
        <w:lastRenderedPageBreak/>
        <w:t>Further encourage</w:t>
      </w:r>
      <w:r w:rsidRPr="003A7CB9">
        <w:rPr>
          <w:rFonts w:ascii="Times New Roman" w:eastAsia="Times New Roman" w:hAnsi="Times New Roman" w:cs="Times New Roman"/>
          <w:sz w:val="24"/>
          <w:szCs w:val="24"/>
        </w:rPr>
        <w:t xml:space="preserve"> the governments and the private sectors to strengthen access to sustainable </w:t>
      </w:r>
      <w:r w:rsidR="00DE0480" w:rsidRPr="003A7CB9">
        <w:rPr>
          <w:rFonts w:ascii="Times New Roman" w:eastAsia="Times New Roman" w:hAnsi="Times New Roman" w:cs="Times New Roman"/>
          <w:sz w:val="24"/>
          <w:szCs w:val="24"/>
        </w:rPr>
        <w:t xml:space="preserve">and green </w:t>
      </w:r>
      <w:r w:rsidRPr="003A7CB9">
        <w:rPr>
          <w:rFonts w:ascii="Times New Roman" w:eastAsia="Times New Roman" w:hAnsi="Times New Roman" w:cs="Times New Roman"/>
          <w:sz w:val="24"/>
          <w:szCs w:val="24"/>
        </w:rPr>
        <w:t>finance, access to market and internationalisation of goods and services produced under strict compliance with green growth and green recovery frameworks</w:t>
      </w:r>
      <w:r w:rsidR="003A7CB9" w:rsidRPr="003A7CB9">
        <w:rPr>
          <w:rFonts w:ascii="Times New Roman" w:eastAsia="Times New Roman" w:hAnsi="Times New Roman" w:cs="Times New Roman"/>
          <w:sz w:val="24"/>
          <w:szCs w:val="24"/>
        </w:rPr>
        <w:t>,</w:t>
      </w:r>
      <w:r w:rsidR="00DE0480" w:rsidRPr="003A7CB9">
        <w:rPr>
          <w:rFonts w:ascii="Times New Roman" w:eastAsia="Times New Roman" w:hAnsi="Times New Roman" w:cs="Times New Roman"/>
          <w:sz w:val="24"/>
          <w:szCs w:val="24"/>
        </w:rPr>
        <w:t xml:space="preserve"> and</w:t>
      </w:r>
      <w:r w:rsidRPr="003A7CB9">
        <w:rPr>
          <w:rFonts w:ascii="Times New Roman" w:eastAsia="Times New Roman" w:hAnsi="Times New Roman" w:cs="Times New Roman"/>
          <w:sz w:val="24"/>
          <w:szCs w:val="24"/>
        </w:rPr>
        <w:t xml:space="preserve"> environmental policies and</w:t>
      </w:r>
      <w:r w:rsidR="00F403E2" w:rsidRPr="003A7CB9">
        <w:rPr>
          <w:rFonts w:ascii="Times New Roman" w:eastAsia="Times New Roman" w:hAnsi="Times New Roman" w:cs="Times New Roman"/>
          <w:sz w:val="24"/>
          <w:szCs w:val="24"/>
        </w:rPr>
        <w:t xml:space="preserve"> in line with</w:t>
      </w:r>
      <w:r w:rsidR="009B5361" w:rsidRPr="003A7CB9">
        <w:rPr>
          <w:rFonts w:ascii="Times New Roman" w:eastAsia="Times New Roman" w:hAnsi="Times New Roman" w:cs="Times New Roman"/>
          <w:sz w:val="24"/>
          <w:szCs w:val="24"/>
        </w:rPr>
        <w:t xml:space="preserve"> the interest of the actors of</w:t>
      </w:r>
      <w:r w:rsidR="009B1B78" w:rsidRPr="003A7CB9">
        <w:rPr>
          <w:rFonts w:ascii="Times New Roman" w:eastAsia="Times New Roman" w:hAnsi="Times New Roman" w:cs="Times New Roman"/>
          <w:sz w:val="24"/>
          <w:szCs w:val="24"/>
        </w:rPr>
        <w:t xml:space="preserve"> </w:t>
      </w:r>
      <w:r w:rsidRPr="003A7CB9">
        <w:rPr>
          <w:rFonts w:ascii="Times New Roman" w:eastAsia="Times New Roman" w:hAnsi="Times New Roman" w:cs="Times New Roman"/>
          <w:sz w:val="24"/>
          <w:szCs w:val="24"/>
        </w:rPr>
        <w:t xml:space="preserve"> MSMEs that promote sustainable use and effective governance of natural resources as well as legislation, regulation and taxation and improvement in institutional framework arrangements</w:t>
      </w:r>
      <w:r w:rsidR="008C783F" w:rsidRPr="003A7CB9">
        <w:rPr>
          <w:rFonts w:ascii="Times New Roman" w:eastAsia="Times New Roman" w:hAnsi="Times New Roman" w:cs="Times New Roman"/>
          <w:sz w:val="24"/>
          <w:szCs w:val="24"/>
        </w:rPr>
        <w:t>, and;</w:t>
      </w:r>
    </w:p>
    <w:p w14:paraId="778DEF11" w14:textId="1B196A2C" w:rsidR="008C783F" w:rsidRDefault="008C783F">
      <w:pPr>
        <w:spacing w:after="0" w:line="240" w:lineRule="auto"/>
        <w:jc w:val="both"/>
        <w:rPr>
          <w:rFonts w:ascii="Times New Roman" w:eastAsia="Times New Roman" w:hAnsi="Times New Roman" w:cs="Times New Roman"/>
          <w:sz w:val="24"/>
          <w:szCs w:val="24"/>
        </w:rPr>
      </w:pPr>
    </w:p>
    <w:p w14:paraId="390AD6E7" w14:textId="3D1BB517" w:rsidR="008C783F" w:rsidRPr="003A7CB9" w:rsidRDefault="008C783F">
      <w:pPr>
        <w:spacing w:after="0" w:line="240" w:lineRule="auto"/>
        <w:jc w:val="both"/>
        <w:rPr>
          <w:rFonts w:ascii="Times New Roman" w:eastAsia="Times New Roman" w:hAnsi="Times New Roman" w:cs="Times New Roman"/>
          <w:sz w:val="24"/>
          <w:szCs w:val="24"/>
        </w:rPr>
      </w:pPr>
      <w:r w:rsidRPr="003A7CB9">
        <w:rPr>
          <w:rFonts w:ascii="Times New Roman" w:eastAsia="Times New Roman" w:hAnsi="Times New Roman" w:cs="Times New Roman"/>
          <w:b/>
          <w:bCs/>
          <w:i/>
          <w:iCs/>
          <w:sz w:val="24"/>
          <w:szCs w:val="24"/>
        </w:rPr>
        <w:t>Propos</w:t>
      </w:r>
      <w:r w:rsidR="00703FF1">
        <w:rPr>
          <w:rFonts w:ascii="Times New Roman" w:eastAsia="Times New Roman" w:hAnsi="Times New Roman" w:cs="Times New Roman"/>
          <w:b/>
          <w:bCs/>
          <w:i/>
          <w:iCs/>
          <w:sz w:val="24"/>
          <w:szCs w:val="24"/>
        </w:rPr>
        <w:t>e</w:t>
      </w:r>
      <w:r w:rsidRPr="003A7CB9">
        <w:rPr>
          <w:rFonts w:ascii="Times New Roman" w:eastAsia="Times New Roman" w:hAnsi="Times New Roman" w:cs="Times New Roman"/>
          <w:sz w:val="24"/>
          <w:szCs w:val="24"/>
        </w:rPr>
        <w:t xml:space="preserve"> that the Parliaments call on the Government to take </w:t>
      </w:r>
      <w:r w:rsidR="002D10C7" w:rsidRPr="003A7CB9">
        <w:rPr>
          <w:rFonts w:ascii="Times New Roman" w:eastAsia="Times New Roman" w:hAnsi="Times New Roman" w:cs="Times New Roman"/>
          <w:sz w:val="24"/>
          <w:szCs w:val="24"/>
        </w:rPr>
        <w:t xml:space="preserve">appropriate </w:t>
      </w:r>
      <w:r w:rsidRPr="003A7CB9">
        <w:rPr>
          <w:rFonts w:ascii="Times New Roman" w:eastAsia="Times New Roman" w:hAnsi="Times New Roman" w:cs="Times New Roman"/>
          <w:sz w:val="24"/>
          <w:szCs w:val="24"/>
        </w:rPr>
        <w:t xml:space="preserve">measures to encourage the applications of ESG criteria in corporate governance through </w:t>
      </w:r>
      <w:r w:rsidR="002D10C7" w:rsidRPr="003A7CB9">
        <w:rPr>
          <w:rFonts w:ascii="Times New Roman" w:eastAsia="Times New Roman" w:hAnsi="Times New Roman" w:cs="Times New Roman"/>
          <w:sz w:val="24"/>
          <w:szCs w:val="24"/>
        </w:rPr>
        <w:t>awareness raising campaign and other platforms to spread</w:t>
      </w:r>
      <w:r w:rsidRPr="003A7CB9">
        <w:rPr>
          <w:rFonts w:ascii="Times New Roman" w:eastAsia="Times New Roman" w:hAnsi="Times New Roman" w:cs="Times New Roman"/>
          <w:sz w:val="24"/>
          <w:szCs w:val="24"/>
        </w:rPr>
        <w:t xml:space="preserve"> </w:t>
      </w:r>
      <w:r w:rsidR="002D10C7" w:rsidRPr="003A7CB9">
        <w:rPr>
          <w:rFonts w:ascii="Times New Roman" w:eastAsia="Times New Roman" w:hAnsi="Times New Roman" w:cs="Times New Roman"/>
          <w:sz w:val="24"/>
          <w:szCs w:val="24"/>
        </w:rPr>
        <w:t>the recognition</w:t>
      </w:r>
      <w:r w:rsidRPr="003A7CB9">
        <w:rPr>
          <w:rFonts w:ascii="Times New Roman" w:eastAsia="Times New Roman" w:hAnsi="Times New Roman" w:cs="Times New Roman"/>
          <w:sz w:val="24"/>
          <w:szCs w:val="24"/>
        </w:rPr>
        <w:t xml:space="preserve"> to </w:t>
      </w:r>
      <w:r w:rsidR="002D10C7" w:rsidRPr="003A7CB9">
        <w:rPr>
          <w:rFonts w:ascii="Times New Roman" w:eastAsia="Times New Roman" w:hAnsi="Times New Roman" w:cs="Times New Roman"/>
          <w:sz w:val="24"/>
          <w:szCs w:val="24"/>
        </w:rPr>
        <w:t>various</w:t>
      </w:r>
      <w:r w:rsidRPr="003A7CB9">
        <w:rPr>
          <w:rFonts w:ascii="Times New Roman" w:eastAsia="Times New Roman" w:hAnsi="Times New Roman" w:cs="Times New Roman"/>
          <w:sz w:val="24"/>
          <w:szCs w:val="24"/>
        </w:rPr>
        <w:t xml:space="preserve"> business sectors,</w:t>
      </w:r>
      <w:r w:rsidR="002D10C7" w:rsidRPr="003A7CB9">
        <w:rPr>
          <w:rFonts w:ascii="Times New Roman" w:eastAsia="Times New Roman" w:hAnsi="Times New Roman" w:cs="Times New Roman"/>
          <w:sz w:val="24"/>
          <w:szCs w:val="24"/>
        </w:rPr>
        <w:t xml:space="preserve"> especially </w:t>
      </w:r>
      <w:r w:rsidRPr="003A7CB9">
        <w:rPr>
          <w:rFonts w:ascii="Times New Roman" w:eastAsia="Times New Roman" w:hAnsi="Times New Roman" w:cs="Times New Roman"/>
          <w:sz w:val="24"/>
          <w:szCs w:val="24"/>
        </w:rPr>
        <w:t>micro, small and medium enterprises. Specifically seek to combine these activities with e-commerce and digital media methods to maximize communication and raise awareness</w:t>
      </w:r>
      <w:r w:rsidR="003C1B6A">
        <w:rPr>
          <w:rFonts w:ascii="Times New Roman" w:eastAsia="Times New Roman" w:hAnsi="Times New Roman" w:cs="Times New Roman"/>
          <w:sz w:val="24"/>
          <w:szCs w:val="24"/>
        </w:rPr>
        <w:t>.</w:t>
      </w:r>
    </w:p>
    <w:p w14:paraId="563BD405" w14:textId="77777777" w:rsidR="00D90ABC" w:rsidRDefault="00D90ABC">
      <w:pPr>
        <w:spacing w:after="0" w:line="240" w:lineRule="auto"/>
        <w:rPr>
          <w:rFonts w:ascii="Times New Roman" w:eastAsia="Times New Roman" w:hAnsi="Times New Roman" w:cs="Times New Roman"/>
          <w:sz w:val="24"/>
          <w:szCs w:val="24"/>
        </w:rPr>
      </w:pPr>
    </w:p>
    <w:p w14:paraId="50419BA2" w14:textId="52B4504B" w:rsidR="00D90ABC" w:rsidRDefault="00797325">
      <w:pP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Adopted on the Twenty </w:t>
      </w:r>
      <w:r w:rsidR="00520B78">
        <w:rPr>
          <w:rFonts w:ascii="Times New Roman" w:eastAsia="Times New Roman" w:hAnsi="Times New Roman" w:cs="Times New Roman"/>
          <w:sz w:val="24"/>
          <w:szCs w:val="24"/>
        </w:rPr>
        <w:t>Third</w:t>
      </w:r>
      <w:r>
        <w:rPr>
          <w:rFonts w:ascii="Times New Roman" w:eastAsia="Times New Roman" w:hAnsi="Times New Roman" w:cs="Times New Roman"/>
          <w:sz w:val="24"/>
          <w:szCs w:val="24"/>
        </w:rPr>
        <w:t xml:space="preserve"> day of November 2022 in Phnom Penh, Cambodia.</w:t>
      </w:r>
    </w:p>
    <w:p w14:paraId="7FFC6B31" w14:textId="77777777" w:rsidR="00D90ABC" w:rsidRDefault="00797325">
      <w:pPr>
        <w:spacing w:after="0" w:line="240" w:lineRule="auto"/>
        <w:rPr>
          <w:rFonts w:ascii="Times New Roman" w:eastAsia="Times New Roman" w:hAnsi="Times New Roman" w:cs="Times New Roman"/>
          <w:sz w:val="24"/>
          <w:szCs w:val="24"/>
        </w:rPr>
      </w:pPr>
      <w:r>
        <w:rPr>
          <w:noProof/>
        </w:rPr>
        <w:drawing>
          <wp:inline distT="0" distB="0" distL="0" distR="0" wp14:anchorId="260449E4" wp14:editId="0D936601">
            <wp:extent cx="5683250" cy="3492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83250" cy="349250"/>
                    </a:xfrm>
                    <a:prstGeom prst="rect">
                      <a:avLst/>
                    </a:prstGeom>
                    <a:ln/>
                  </pic:spPr>
                </pic:pic>
              </a:graphicData>
            </a:graphic>
          </wp:inline>
        </w:drawing>
      </w:r>
    </w:p>
    <w:sectPr w:rsidR="00D90ABC">
      <w:pgSz w:w="11906" w:h="16838"/>
      <w:pgMar w:top="1152" w:right="1224" w:bottom="72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05CA" w14:textId="77777777" w:rsidR="00DF0854" w:rsidRDefault="00DF0854" w:rsidP="00785E73">
      <w:pPr>
        <w:spacing w:after="0" w:line="240" w:lineRule="auto"/>
      </w:pPr>
      <w:r>
        <w:separator/>
      </w:r>
    </w:p>
  </w:endnote>
  <w:endnote w:type="continuationSeparator" w:id="0">
    <w:p w14:paraId="79073664" w14:textId="77777777" w:rsidR="00DF0854" w:rsidRDefault="00DF0854" w:rsidP="0078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 Book">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1F33" w14:textId="77777777" w:rsidR="00DF0854" w:rsidRDefault="00DF0854" w:rsidP="00785E73">
      <w:pPr>
        <w:spacing w:after="0" w:line="240" w:lineRule="auto"/>
      </w:pPr>
      <w:r>
        <w:separator/>
      </w:r>
    </w:p>
  </w:footnote>
  <w:footnote w:type="continuationSeparator" w:id="0">
    <w:p w14:paraId="113A75B5" w14:textId="77777777" w:rsidR="00DF0854" w:rsidRDefault="00DF0854" w:rsidP="00785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BC"/>
    <w:rsid w:val="00100ED7"/>
    <w:rsid w:val="00190F3B"/>
    <w:rsid w:val="001A0170"/>
    <w:rsid w:val="001E5383"/>
    <w:rsid w:val="002906E9"/>
    <w:rsid w:val="00295B5B"/>
    <w:rsid w:val="002B415F"/>
    <w:rsid w:val="002D10C7"/>
    <w:rsid w:val="00326A3F"/>
    <w:rsid w:val="003A2A0C"/>
    <w:rsid w:val="003A7CB9"/>
    <w:rsid w:val="003C1B6A"/>
    <w:rsid w:val="004A787E"/>
    <w:rsid w:val="00520B78"/>
    <w:rsid w:val="005A323D"/>
    <w:rsid w:val="005B2B45"/>
    <w:rsid w:val="005B5618"/>
    <w:rsid w:val="00611CDF"/>
    <w:rsid w:val="00703FF1"/>
    <w:rsid w:val="00785E73"/>
    <w:rsid w:val="00797325"/>
    <w:rsid w:val="008630F6"/>
    <w:rsid w:val="008C783F"/>
    <w:rsid w:val="008D7416"/>
    <w:rsid w:val="009B1B78"/>
    <w:rsid w:val="009B5361"/>
    <w:rsid w:val="009B69D8"/>
    <w:rsid w:val="009F0349"/>
    <w:rsid w:val="00A56DBE"/>
    <w:rsid w:val="00B02FB5"/>
    <w:rsid w:val="00B2619E"/>
    <w:rsid w:val="00BA52C7"/>
    <w:rsid w:val="00BB70B3"/>
    <w:rsid w:val="00C25FC7"/>
    <w:rsid w:val="00C439EE"/>
    <w:rsid w:val="00D431AE"/>
    <w:rsid w:val="00D64471"/>
    <w:rsid w:val="00D90ABC"/>
    <w:rsid w:val="00DA1B63"/>
    <w:rsid w:val="00DE0480"/>
    <w:rsid w:val="00DF0854"/>
    <w:rsid w:val="00E76FD3"/>
    <w:rsid w:val="00EA3596"/>
    <w:rsid w:val="00F403E2"/>
    <w:rsid w:val="00FC4FC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6FF2D"/>
  <w15:docId w15:val="{57075B82-21D4-4DFC-9103-6E25453A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6B1"/>
    <w:rPr>
      <w:rFonts w:cs="Times New Roman"/>
    </w:rPr>
  </w:style>
  <w:style w:type="paragraph" w:styleId="BalloonText">
    <w:name w:val="Balloon Text"/>
    <w:basedOn w:val="Normal"/>
    <w:link w:val="BalloonTextChar"/>
    <w:uiPriority w:val="99"/>
    <w:semiHidden/>
    <w:unhideWhenUsed/>
    <w:rsid w:val="006F5AF7"/>
    <w:pPr>
      <w:spacing w:after="0" w:line="240" w:lineRule="auto"/>
    </w:pPr>
    <w:rPr>
      <w:rFonts w:ascii="Leelawadee" w:hAnsi="Leelawadee" w:cs="Leelawadee"/>
      <w:sz w:val="18"/>
      <w:szCs w:val="18"/>
    </w:rPr>
  </w:style>
  <w:style w:type="character" w:customStyle="1" w:styleId="BalloonTextChar">
    <w:name w:val="Balloon Text Char"/>
    <w:basedOn w:val="DefaultParagraphFont"/>
    <w:link w:val="BalloonText"/>
    <w:uiPriority w:val="99"/>
    <w:semiHidden/>
    <w:rsid w:val="006F5AF7"/>
    <w:rPr>
      <w:rFonts w:ascii="Leelawadee" w:hAnsi="Leelawadee" w:cs="Leelawadee"/>
      <w:sz w:val="18"/>
      <w:szCs w:val="18"/>
    </w:rPr>
  </w:style>
  <w:style w:type="paragraph" w:styleId="ListParagraph">
    <w:name w:val="List Paragraph"/>
    <w:basedOn w:val="Normal"/>
    <w:uiPriority w:val="34"/>
    <w:qFormat/>
    <w:rsid w:val="00250AB6"/>
    <w:pPr>
      <w:ind w:left="720"/>
      <w:contextualSpacing/>
    </w:pPr>
  </w:style>
  <w:style w:type="table" w:customStyle="1" w:styleId="TableGrid1">
    <w:name w:val="Table Grid1"/>
    <w:basedOn w:val="TableNormal"/>
    <w:next w:val="TableGrid"/>
    <w:uiPriority w:val="39"/>
    <w:rsid w:val="00A5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8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73"/>
  </w:style>
  <w:style w:type="paragraph" w:styleId="Footer">
    <w:name w:val="footer"/>
    <w:basedOn w:val="Normal"/>
    <w:link w:val="FooterChar"/>
    <w:uiPriority w:val="99"/>
    <w:unhideWhenUsed/>
    <w:rsid w:val="0078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8j0s7dLJmrHK28+xNt4wxWSvLg==">AMUW2mUbZ88x9tZZa728fypYD5KWiHiwaQLnupSS+h1VIoHf1JZdOR/NtEi6MhOSUDvdVTYjERvnNDNdF3QpkXCcbZ8eGtp/kfqzDbiWSU9gNFsrE/HBpGcmV/dU8+Z1qR0jKmVW9klbJWMW4vspVq6wUDwrVCywpSSMbKX4iEP9hu0hpPknsbnnYurEQADCr6YCycqPlK+HhSNIW4Altip11pYm+ltCJHR93W+sHTjxoD3K5xSN7EWOse2u2zdGCcOUJ2gqEtyt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A2F75-9CCC-43F2-8E0D-F5B8D158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Nursahamdani</dc:creator>
  <cp:lastModifiedBy>Royyan Isnanda</cp:lastModifiedBy>
  <cp:revision>4</cp:revision>
  <dcterms:created xsi:type="dcterms:W3CDTF">2022-11-22T08:15:00Z</dcterms:created>
  <dcterms:modified xsi:type="dcterms:W3CDTF">2022-11-22T12:05:00Z</dcterms:modified>
</cp:coreProperties>
</file>